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sectPr w:rsidR="00FC693F" w:rsidRPr="0006063C" w:rsidSect="00034616">
      <w:headerReference w:type="default" r:id="rId9"/>
      <w:footerReference w:type="default" r:id="rId10"/>
      <w:pgSz w:w="11906" w:h="16838"/>
      <w:pgMar w:top="2948" w:right="1020" w:bottom="1701" w:left="102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ind w:left="-1020" w:right="-1020"/>
      <w:jc w:val="center"/>
    </w:pPr>
    <w:r>
      <w:drawing>
        <wp:inline xmlns:a="http://schemas.openxmlformats.org/drawingml/2006/main" xmlns:pic="http://schemas.openxmlformats.org/drawingml/2006/picture">
          <wp:extent cx="7560000" cy="73436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etterhead-foot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734365"/>
                  </a:xfrm>
                  <a:prstGeom prst="rect"/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020" w:right="-1020"/>
      <w:jc w:val="center"/>
    </w:pPr>
    <w:r>
      <w:drawing>
        <wp:inline xmlns:a="http://schemas.openxmlformats.org/drawingml/2006/main" xmlns:pic="http://schemas.openxmlformats.org/drawingml/2006/picture">
          <wp:extent cx="7560000" cy="158147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etterhead-hea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58147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6" w:lineRule="auto"/>
    </w:pPr>
    <w:rPr>
      <w:rFonts w:ascii="IBM Plex Sans" w:hAnsi="IBM Plex Sans" w:eastAsia="IBM Plex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